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0B76" w14:textId="766AF08D" w:rsidR="00B936B3" w:rsidRPr="0087440E" w:rsidRDefault="00B8415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B84153">
        <w:rPr>
          <w:rFonts w:asciiTheme="minorHAnsi" w:eastAsiaTheme="minorEastAsia" w:hAnsiTheme="minorHAnsi" w:cstheme="minorHAnsi"/>
          <w:b/>
          <w:bCs/>
          <w:color w:val="C3001E"/>
          <w:sz w:val="32"/>
          <w:szCs w:val="32"/>
          <w:lang w:val="es-ES" w:eastAsia="zh-CN"/>
        </w:rPr>
        <w:t>ARTÍCULO DE PRENSA</w:t>
      </w: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2E6277D" w14:textId="77777777" w:rsidR="00B84153" w:rsidRPr="00E54A00" w:rsidRDefault="00B84153" w:rsidP="00B84153">
      <w:pPr>
        <w:spacing w:after="160" w:line="256" w:lineRule="auto"/>
        <w:rPr>
          <w:rFonts w:ascii="Noto Sans" w:eastAsia="Noto Sans" w:hAnsi="Noto Sans" w:cs="Noto Sans"/>
          <w:b/>
          <w:bCs/>
          <w:sz w:val="20"/>
          <w:szCs w:val="20"/>
          <w:lang w:val="es-ES"/>
        </w:rPr>
      </w:pPr>
    </w:p>
    <w:p w14:paraId="59B94FC1" w14:textId="7F9B4655" w:rsidR="00B84153" w:rsidRPr="00E54A00" w:rsidRDefault="00B84153" w:rsidP="00B84153">
      <w:pPr>
        <w:spacing w:after="160" w:line="256" w:lineRule="auto"/>
        <w:rPr>
          <w:rFonts w:ascii="Noto Sans" w:eastAsia="Noto Sans" w:hAnsi="Noto Sans" w:cs="Noto Sans"/>
          <w:b/>
          <w:bCs/>
          <w:sz w:val="20"/>
          <w:szCs w:val="20"/>
          <w:lang w:val="es-ES"/>
        </w:rPr>
      </w:pPr>
      <w:r w:rsidRPr="00E54A00">
        <w:rPr>
          <w:rFonts w:ascii="Noto Sans" w:eastAsia="Noto Sans" w:hAnsi="Noto Sans" w:cs="Noto Sans"/>
          <w:b/>
          <w:bCs/>
          <w:sz w:val="20"/>
          <w:szCs w:val="20"/>
          <w:lang w:val="es-ES"/>
        </w:rPr>
        <w:t>Mex, Suizo, 2 Junio 2022</w:t>
      </w:r>
    </w:p>
    <w:p w14:paraId="35358B63" w14:textId="177731CF" w:rsidR="00B84153" w:rsidRDefault="00B84153" w:rsidP="00B84153">
      <w:pPr>
        <w:spacing w:after="160" w:line="256" w:lineRule="auto"/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</w:pPr>
    </w:p>
    <w:p w14:paraId="738AFEF7" w14:textId="77777777" w:rsidR="00B84153" w:rsidRPr="00E54A00" w:rsidRDefault="00B84153" w:rsidP="00B84153">
      <w:pPr>
        <w:spacing w:after="160" w:line="240" w:lineRule="auto"/>
        <w:rPr>
          <w:rFonts w:asciiTheme="minorHAnsi" w:eastAsia="Calibri" w:hAnsiTheme="minorHAnsi" w:cstheme="minorHAnsi"/>
          <w:sz w:val="20"/>
          <w:szCs w:val="20"/>
          <w:lang w:val="es-ES"/>
        </w:rPr>
      </w:pPr>
      <w:r w:rsidRPr="00E54A00">
        <w:rPr>
          <w:rFonts w:asciiTheme="minorHAnsi" w:eastAsia="Calibri" w:hAnsiTheme="minorHAnsi" w:cstheme="minorHAnsi"/>
          <w:b/>
          <w:bCs/>
          <w:sz w:val="20"/>
          <w:szCs w:val="20"/>
          <w:lang w:val="es-ES"/>
        </w:rPr>
        <w:t>Autor:</w:t>
      </w:r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>Stelios</w:t>
      </w:r>
      <w:proofErr w:type="spellEnd"/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>Manousakis</w:t>
      </w:r>
      <w:proofErr w:type="spellEnd"/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 xml:space="preserve">, Digital </w:t>
      </w:r>
      <w:proofErr w:type="spellStart"/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>Technology</w:t>
      </w:r>
      <w:proofErr w:type="spellEnd"/>
      <w:r w:rsidRPr="00E54A00">
        <w:rPr>
          <w:rFonts w:asciiTheme="minorHAnsi" w:eastAsia="Calibri" w:hAnsiTheme="minorHAnsi" w:cstheme="minorHAnsi"/>
          <w:sz w:val="20"/>
          <w:szCs w:val="20"/>
          <w:lang w:val="es-ES"/>
        </w:rPr>
        <w:t xml:space="preserve"> Director en BOBST</w:t>
      </w:r>
    </w:p>
    <w:p w14:paraId="52BE8F44" w14:textId="77777777" w:rsidR="00B84153" w:rsidRPr="00B84153" w:rsidRDefault="00B84153" w:rsidP="00B84153">
      <w:pPr>
        <w:spacing w:after="160" w:line="256" w:lineRule="auto"/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</w:pPr>
    </w:p>
    <w:p w14:paraId="62311A7F" w14:textId="77777777" w:rsidR="00B84153" w:rsidRPr="00B84153" w:rsidRDefault="00B84153" w:rsidP="00B84153">
      <w:pPr>
        <w:spacing w:after="160" w:line="256" w:lineRule="auto"/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 xml:space="preserve">Impresión digital </w:t>
      </w:r>
      <w:proofErr w:type="spellStart"/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>inkjet</w:t>
      </w:r>
      <w:proofErr w:type="spellEnd"/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 xml:space="preserve"> de BOBST. Un </w:t>
      </w:r>
      <w:proofErr w:type="spellStart"/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>cluster</w:t>
      </w:r>
      <w:proofErr w:type="spellEnd"/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 xml:space="preserve"> de impresión que revoluciona la producción de etiquetas</w:t>
      </w:r>
    </w:p>
    <w:p w14:paraId="10D2698F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Compacto, fiable, conectado, actualizable y ‘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green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’. ¡La mejor tecnología de impresión digital que se puede elegir hoy en día!</w:t>
      </w:r>
    </w:p>
    <w:p w14:paraId="73284A3E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Y cuanto más puntera es la tecnología, más hay que esforzarse para hacerla realidad. Estos criterios son prácticamente inseparables. La base de cualquier innovación exitosa y sostenible. </w:t>
      </w:r>
    </w:p>
    <w:p w14:paraId="6BB52EAC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BOBST ha desarrollado el Mouvent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Cluster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basado precisamente en estos principios.</w:t>
      </w:r>
    </w:p>
    <w:p w14:paraId="20CC69F5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Por primera vez en la historia del Inkjet, estamos viendo que utilizando los avances de la tecnología de impresión 3D se logra un dispositivo de impresión compacto y eficaz. El Mouvent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Cluster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es una unidad compuesta por cuatro cabezales de tinta con su sistema control, todo ello integrado en un diseño muy compacto. Y la compacidad no es solo una ventaja a nivel de volumen. Indica que hay un mínimo de piezas móviles, elementos internos bien ubicados y cables y conexiones organizados con precisión.</w:t>
      </w:r>
    </w:p>
    <w:p w14:paraId="5D099E04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Esta exclusiva lógica de diseño aporta ventajas únicas:</w:t>
      </w:r>
    </w:p>
    <w:p w14:paraId="54FFDA44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>Menos piezas móviles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, obviamente, requieren menos mantenimiento y presentan menos riesgos de fallo. Los elementos internos ubicados con precisión permiten un control de la temperatura más rápido y preciso y unas líneas de distribución de fluidos más cortas, obteniendo una menor pérdida de temperatura y presión.</w:t>
      </w:r>
    </w:p>
    <w:p w14:paraId="7665423C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Además, las </w:t>
      </w: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 xml:space="preserve">unidades de control de tinta y temperatura integradas 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del Mouvent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Cluster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siguen una arquitectura muy sencilla.  Cada unidad es autónoma y cada cabezal de impresión es controlado por separado en un círculo cerrado por su propio sistema de control de presión y temperatura.</w:t>
      </w:r>
    </w:p>
    <w:p w14:paraId="25AAE857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Es un cambio radical en la tecnología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inkjet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en todo el mundo que lleva a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a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un control del rociado completo totalmente independiente de la velocidad de impresión, de la cobertura de tinta o del nivel de detalle del fichero impreso.</w:t>
      </w:r>
    </w:p>
    <w:p w14:paraId="28A024DA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La mayor ventaja de controlar la tinta a tan poca distancia y en bucle es la </w:t>
      </w: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>uniformidad del tamaño de la gota de tinta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y la eficiencia del sistema durante largos tiempos de producción.</w:t>
      </w:r>
    </w:p>
    <w:p w14:paraId="22B29178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Se elimina la niebla de tinta, se mantiene un control absoluto de la temperatura del cabezal de impresión y se logra una producción ininterrumpida sin pausas de limpieza o enfriamiento.</w:t>
      </w:r>
    </w:p>
    <w:p w14:paraId="37836D01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La </w:t>
      </w: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 xml:space="preserve">conectividad 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también es fundamental para un rendimiento fiable. Un rendimiento basado en el análisis de datos sobre la marcha y en cálculos algorítmicos que derivan en un elevado control y una adaptación inmediata. </w:t>
      </w:r>
    </w:p>
    <w:p w14:paraId="47F992FC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En pocas palabras, el sistema del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cluster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tiene su propia </w:t>
      </w: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>inteligencia modular avanzada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que se adapta cuándo y dónde se necesita y, a la vez, está conectado a un servidor de alta velocidad y al flujo de datos de imagen.</w:t>
      </w:r>
    </w:p>
    <w:p w14:paraId="4C889C4C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lastRenderedPageBreak/>
        <w:t>El cerebro del sistema,</w:t>
      </w: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 xml:space="preserve"> la electrónica, es un sistema totalmente programable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. El sistema se ha diseñado con un enfoque de cálculo determinista para un rendimiento escalable, un bajo consumo de energía y teniendo en cuenta la seguridad.</w:t>
      </w:r>
    </w:p>
    <w:p w14:paraId="2FE0E5C7" w14:textId="77777777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Las </w:t>
      </w:r>
      <w:r w:rsidRPr="00B84153">
        <w:rPr>
          <w:rFonts w:asciiTheme="minorHAnsi" w:eastAsia="Noto Sans" w:hAnsiTheme="minorHAnsi" w:cstheme="minorHAnsi"/>
          <w:b/>
          <w:bCs/>
          <w:sz w:val="20"/>
          <w:szCs w:val="20"/>
          <w:lang w:val="es-ES"/>
        </w:rPr>
        <w:t>actualizaciones y adaptaciones se hacen directamente en la impresora</w:t>
      </w: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, incluso por ingenieros de asistencia a distancia, asegurando que la tecnología siempre cumpla los requerimientos.</w:t>
      </w:r>
    </w:p>
    <w:p w14:paraId="282148EA" w14:textId="21C29BE3" w:rsidR="00B84153" w:rsidRPr="00B84153" w:rsidRDefault="00B84153" w:rsidP="00B84153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es-ES"/>
        </w:rPr>
      </w:pPr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De modo que la tecnología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Cluster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de BOBST está revolucionando la impresión </w:t>
      </w:r>
      <w:proofErr w:type="spellStart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>inkjet</w:t>
      </w:r>
      <w:proofErr w:type="spellEnd"/>
      <w:r w:rsidRPr="00B84153">
        <w:rPr>
          <w:rFonts w:asciiTheme="minorHAnsi" w:eastAsia="Noto Sans" w:hAnsiTheme="minorHAnsi" w:cstheme="minorHAnsi"/>
          <w:sz w:val="20"/>
          <w:szCs w:val="20"/>
          <w:lang w:val="es-ES"/>
        </w:rPr>
        <w:t xml:space="preserve"> y abriendo nuevos horizontes en la industria del embalaje. </w:t>
      </w:r>
    </w:p>
    <w:p w14:paraId="21821F78" w14:textId="58AD472A" w:rsidR="00B936B3" w:rsidRPr="00E54A00" w:rsidRDefault="00B84153" w:rsidP="00B84153">
      <w:pPr>
        <w:spacing w:after="160" w:line="240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>
        <w:rPr>
          <w:rFonts w:ascii="Noto Sans" w:eastAsia="Noto Sans" w:hAnsi="Noto Sans"/>
          <w:sz w:val="22"/>
          <w:szCs w:val="22"/>
          <w:lang w:val="es-ES"/>
        </w:rPr>
        <w:t>./.</w:t>
      </w:r>
    </w:p>
    <w:p w14:paraId="6A326866" w14:textId="77777777" w:rsidR="00E54A00" w:rsidRPr="00E54A00" w:rsidRDefault="00E54A0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06D5312" w14:textId="77777777" w:rsidR="00217782" w:rsidRPr="00E54A00" w:rsidRDefault="00217782" w:rsidP="00217782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E54A00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5758451B" w14:textId="77777777" w:rsidR="00E54A00" w:rsidRPr="00E54A00" w:rsidRDefault="00E54A00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7D1877BB" w14:textId="2ADC0FD6" w:rsidR="00217782" w:rsidRPr="00E54A00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E54A00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2EB648DB" w14:textId="77777777" w:rsidR="00217782" w:rsidRPr="00E54A00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2215CB9B" w14:textId="77777777" w:rsidR="00217782" w:rsidRPr="00E54A00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E54A00">
        <w:rPr>
          <w:rFonts w:asciiTheme="minorHAnsi" w:hAnsiTheme="minorHAnsi" w:cstheme="minorHAnsi"/>
          <w:sz w:val="19"/>
          <w:szCs w:val="19"/>
          <w:lang w:val="es-ES"/>
        </w:rPr>
        <w:t>Fundada en 1890 por Joseph Bobst en Lausana (Suiza), BOBST está presente en más de 50 países, cuenta con 19 plantas de producción en 11 países y emplea a más 5 800 trabajadores en todo el mundo. La compañía registró una facturación consolidada de 1.563  mil millones de francos suizos durante el ejercicio finalizado el 31 de diciembre de 2021.</w:t>
      </w:r>
    </w:p>
    <w:p w14:paraId="234C12E6" w14:textId="77777777" w:rsidR="00E61AB6" w:rsidRPr="00E54A00" w:rsidRDefault="00E61AB6" w:rsidP="00B936B3">
      <w:pPr>
        <w:spacing w:line="271" w:lineRule="auto"/>
        <w:rPr>
          <w:rFonts w:cs="Arial"/>
          <w:sz w:val="19"/>
          <w:szCs w:val="19"/>
          <w:lang w:val="pt-BR"/>
        </w:rPr>
      </w:pPr>
    </w:p>
    <w:p w14:paraId="387DD3AD" w14:textId="77777777" w:rsidR="00E61AB6" w:rsidRPr="00E54A00" w:rsidRDefault="00E61AB6" w:rsidP="00B936B3">
      <w:pPr>
        <w:spacing w:line="271" w:lineRule="auto"/>
        <w:rPr>
          <w:rFonts w:cs="Arial"/>
          <w:b/>
          <w:sz w:val="19"/>
          <w:szCs w:val="19"/>
          <w:lang w:val="pt-BR"/>
        </w:rPr>
      </w:pPr>
      <w:r w:rsidRPr="00E54A00">
        <w:rPr>
          <w:rFonts w:cs="Arial"/>
          <w:b/>
          <w:sz w:val="19"/>
          <w:szCs w:val="19"/>
          <w:lang w:val="pt-BR"/>
        </w:rPr>
        <w:t>Contacto prensa</w:t>
      </w:r>
      <w:r w:rsidR="006A73CE" w:rsidRPr="00E54A00">
        <w:rPr>
          <w:rFonts w:cs="Arial"/>
          <w:b/>
          <w:sz w:val="19"/>
          <w:szCs w:val="19"/>
          <w:lang w:val="pt-BR"/>
        </w:rPr>
        <w:t>:</w:t>
      </w:r>
    </w:p>
    <w:p w14:paraId="4E2E70AF" w14:textId="77777777" w:rsidR="00D12952" w:rsidRPr="00E54A00" w:rsidRDefault="00D12952" w:rsidP="00B936B3">
      <w:pPr>
        <w:spacing w:line="271" w:lineRule="auto"/>
        <w:rPr>
          <w:rFonts w:cs="Arial"/>
          <w:b/>
          <w:sz w:val="19"/>
          <w:szCs w:val="19"/>
          <w:lang w:val="pt-BR"/>
        </w:rPr>
      </w:pPr>
    </w:p>
    <w:p w14:paraId="66A5C56F" w14:textId="77777777" w:rsidR="006A73CE" w:rsidRPr="00E54A00" w:rsidRDefault="006A73CE" w:rsidP="00B936B3">
      <w:pPr>
        <w:spacing w:line="266" w:lineRule="auto"/>
        <w:rPr>
          <w:rFonts w:cs="Arial"/>
          <w:sz w:val="19"/>
          <w:szCs w:val="19"/>
          <w:lang w:val="pt-BR" w:eastAsia="zh-CN"/>
        </w:rPr>
      </w:pPr>
      <w:r w:rsidRPr="00E54A00">
        <w:rPr>
          <w:rFonts w:cs="Arial"/>
          <w:sz w:val="19"/>
          <w:szCs w:val="19"/>
          <w:lang w:val="pt-BR" w:eastAsia="zh-CN"/>
        </w:rPr>
        <w:t>Gudrun Alex</w:t>
      </w:r>
      <w:r w:rsidRPr="00E54A00">
        <w:rPr>
          <w:rFonts w:cs="Arial"/>
          <w:sz w:val="19"/>
          <w:szCs w:val="19"/>
          <w:lang w:val="pt-BR" w:eastAsia="zh-CN"/>
        </w:rPr>
        <w:br/>
        <w:t>BOBST PR Representative</w:t>
      </w:r>
    </w:p>
    <w:p w14:paraId="009427B1" w14:textId="77777777" w:rsidR="006A73CE" w:rsidRPr="00E54A00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E54A00">
        <w:rPr>
          <w:rFonts w:cs="Arial"/>
          <w:sz w:val="19"/>
          <w:szCs w:val="19"/>
          <w:lang w:val="fr-CH" w:eastAsia="de-DE"/>
        </w:rPr>
        <w:t xml:space="preserve">Tel.: +49 211 58 58 66 66 </w:t>
      </w:r>
    </w:p>
    <w:p w14:paraId="4EC36826" w14:textId="77777777" w:rsidR="006A73CE" w:rsidRPr="00E54A00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E54A00">
        <w:rPr>
          <w:rFonts w:cs="Arial"/>
          <w:sz w:val="19"/>
          <w:szCs w:val="19"/>
          <w:lang w:val="fr-CH" w:eastAsia="de-DE"/>
        </w:rPr>
        <w:t>Mobile: +49 160 48 41 439</w:t>
      </w:r>
    </w:p>
    <w:p w14:paraId="397F5226" w14:textId="77777777" w:rsidR="000B5055" w:rsidRPr="00E54A00" w:rsidRDefault="000B5055" w:rsidP="00B936B3">
      <w:pPr>
        <w:rPr>
          <w:rFonts w:cs="Arial"/>
          <w:sz w:val="19"/>
          <w:szCs w:val="19"/>
          <w:lang w:val="fr-CH" w:eastAsia="de-DE"/>
        </w:rPr>
      </w:pPr>
      <w:r w:rsidRPr="00E54A00">
        <w:rPr>
          <w:rFonts w:cs="Arial"/>
          <w:sz w:val="19"/>
          <w:szCs w:val="19"/>
          <w:lang w:val="fr-CH" w:eastAsia="de-DE"/>
        </w:rPr>
        <w:t xml:space="preserve">Email: </w:t>
      </w:r>
      <w:hyperlink r:id="rId7" w:history="1">
        <w:proofErr w:type="spellStart"/>
        <w:r w:rsidRPr="00E54A0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CH" w:eastAsia="de-DE"/>
          </w:rPr>
          <w:t>gudrun.alex@bobst.com</w:t>
        </w:r>
        <w:proofErr w:type="spellEnd"/>
      </w:hyperlink>
    </w:p>
    <w:p w14:paraId="00E090D4" w14:textId="77777777" w:rsidR="00D12952" w:rsidRPr="00E54A00" w:rsidRDefault="00D12952" w:rsidP="00B936B3">
      <w:pPr>
        <w:rPr>
          <w:rFonts w:cs="Arial"/>
          <w:sz w:val="19"/>
          <w:szCs w:val="19"/>
          <w:lang w:val="fr-CH" w:eastAsia="de-DE"/>
        </w:rPr>
      </w:pPr>
    </w:p>
    <w:p w14:paraId="4220CB0A" w14:textId="77777777" w:rsidR="000B5055" w:rsidRPr="00E54A00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E54A00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E54A00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E54A00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E54A00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E54A0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E54A00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E54A00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E54A0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E54A00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E54A00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E54A0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E54A00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E54A00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1" w:history="1">
        <w:r w:rsidRPr="00E54A0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E54A00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E54A00" w:rsidSect="0072266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5D67" w14:textId="77777777" w:rsidR="004C5B96" w:rsidRDefault="004C5B96" w:rsidP="00BB5BE9">
      <w:pPr>
        <w:spacing w:line="240" w:lineRule="auto"/>
      </w:pPr>
      <w:r>
        <w:separator/>
      </w:r>
    </w:p>
  </w:endnote>
  <w:endnote w:type="continuationSeparator" w:id="0">
    <w:p w14:paraId="0AAE9BD8" w14:textId="77777777" w:rsidR="004C5B96" w:rsidRDefault="004C5B9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Bobst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r w:rsidRPr="000B5055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DB8" w14:textId="77777777" w:rsidR="004C5B96" w:rsidRDefault="004C5B96" w:rsidP="00BB5BE9">
      <w:pPr>
        <w:spacing w:line="240" w:lineRule="auto"/>
      </w:pPr>
      <w:r>
        <w:separator/>
      </w:r>
    </w:p>
  </w:footnote>
  <w:footnote w:type="continuationSeparator" w:id="0">
    <w:p w14:paraId="0A6433B7" w14:textId="77777777" w:rsidR="004C5B96" w:rsidRDefault="004C5B9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F756" w14:textId="77777777" w:rsidR="00BB5BE9" w:rsidRPr="005D389A" w:rsidRDefault="004C5B96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5056" w14:textId="77777777" w:rsidR="00F36CF1" w:rsidRPr="005D389A" w:rsidRDefault="004C5B9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275830">
    <w:abstractNumId w:val="9"/>
  </w:num>
  <w:num w:numId="2" w16cid:durableId="1438719183">
    <w:abstractNumId w:val="7"/>
  </w:num>
  <w:num w:numId="3" w16cid:durableId="540825063">
    <w:abstractNumId w:val="6"/>
  </w:num>
  <w:num w:numId="4" w16cid:durableId="731661519">
    <w:abstractNumId w:val="5"/>
  </w:num>
  <w:num w:numId="5" w16cid:durableId="1000619115">
    <w:abstractNumId w:val="4"/>
  </w:num>
  <w:num w:numId="6" w16cid:durableId="104082577">
    <w:abstractNumId w:val="8"/>
  </w:num>
  <w:num w:numId="7" w16cid:durableId="1080831258">
    <w:abstractNumId w:val="3"/>
  </w:num>
  <w:num w:numId="8" w16cid:durableId="1145201091">
    <w:abstractNumId w:val="2"/>
  </w:num>
  <w:num w:numId="9" w16cid:durableId="368140540">
    <w:abstractNumId w:val="1"/>
  </w:num>
  <w:num w:numId="10" w16cid:durableId="164419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7064C"/>
    <w:rsid w:val="002A62A9"/>
    <w:rsid w:val="003800D4"/>
    <w:rsid w:val="004C2489"/>
    <w:rsid w:val="004C5501"/>
    <w:rsid w:val="004C5B96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6C70AF"/>
    <w:rsid w:val="00722663"/>
    <w:rsid w:val="00756417"/>
    <w:rsid w:val="00766D70"/>
    <w:rsid w:val="0084626F"/>
    <w:rsid w:val="0089339F"/>
    <w:rsid w:val="008B5EF4"/>
    <w:rsid w:val="008C4AAD"/>
    <w:rsid w:val="008D353F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84153"/>
    <w:rsid w:val="00B936B3"/>
    <w:rsid w:val="00BB5BE9"/>
    <w:rsid w:val="00BE0378"/>
    <w:rsid w:val="00C20D00"/>
    <w:rsid w:val="00C42F61"/>
    <w:rsid w:val="00CC20B7"/>
    <w:rsid w:val="00CC7F9D"/>
    <w:rsid w:val="00CD44DF"/>
    <w:rsid w:val="00D12952"/>
    <w:rsid w:val="00D33141"/>
    <w:rsid w:val="00D65423"/>
    <w:rsid w:val="00DA5A2A"/>
    <w:rsid w:val="00DB1DC2"/>
    <w:rsid w:val="00DE5DD2"/>
    <w:rsid w:val="00E54A00"/>
    <w:rsid w:val="00E61AB6"/>
    <w:rsid w:val="00EF0880"/>
    <w:rsid w:val="00F03D8B"/>
    <w:rsid w:val="00F36CF1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</Template>
  <TotalTime>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2022-06-01T09:33:00Z</dcterms:created>
  <dcterms:modified xsi:type="dcterms:W3CDTF">2022-06-02T11:53:00Z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